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4608C6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4608C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การขอมีบัตรประจำตัวผู้รับอนุญาต ผู้จัดการ ลูกจ้างหรือตัวแทนจัดหางานในประเทศ</w:t>
      </w:r>
    </w:p>
    <w:p w:rsidR="00D239AD" w:rsidRPr="004608C6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608C6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4608C6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4608C6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4608C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4608C6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4608C6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4608C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4608C6" w:rsidRDefault="00F44359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4608C6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4608C6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4608C6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4608C6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การขอมีบัตรประจำตัวผู้รับอนุญาต ผู้จัดการ ลูกจ้างหรือตัวแทนจัดหางานในประเทศ</w:t>
      </w:r>
    </w:p>
    <w:p w:rsidR="00132E1B" w:rsidRPr="004608C6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4608C6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4608C6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4608C6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4608C6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4608C6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4608C6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4608C6" w:rsidTr="008C1396">
        <w:tc>
          <w:tcPr>
            <w:tcW w:w="675" w:type="dxa"/>
          </w:tcPr>
          <w:p w:rsidR="00394708" w:rsidRPr="004608C6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4608C6" w:rsidRDefault="00394708" w:rsidP="004608C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4608C6" w:rsidTr="008C1396">
        <w:tc>
          <w:tcPr>
            <w:tcW w:w="675" w:type="dxa"/>
          </w:tcPr>
          <w:p w:rsidR="00394708" w:rsidRPr="004608C6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4608C6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 ว่าด้วยการขอและการออกใบแทนใบอนุญาต และบัตรประจำตัวผู้รับอนุญาต ผู้จัดการ ลูกจ้างหรือตัวแทนจัดหางาน พ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2538</w:t>
            </w:r>
          </w:p>
          <w:p w:rsidR="00394708" w:rsidRPr="004608C6" w:rsidRDefault="00394708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4608C6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บริการทั่วไป</w:t>
      </w:r>
      <w:r w:rsidR="00C81DB8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4608C6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4608C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4608C6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4608C6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ระเบียบกระทรวงแรงงานและสวัสดิการสังคม ว่าด้วยการขอและการออกใบแทนใบอนุญาต และบัตรประจำตัวผู้รับอนุญาต ผู้จัดการ ลูกจ้างหรือตัวแทนจัดหางาน พ</w:t>
      </w:r>
      <w:r w:rsidR="00C81DB8" w:rsidRPr="004608C6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4608C6">
        <w:rPr>
          <w:rFonts w:ascii="TH SarabunPSK" w:hAnsi="TH SarabunPSK" w:cs="TH SarabunPSK"/>
          <w:noProof/>
          <w:sz w:val="32"/>
          <w:szCs w:val="32"/>
        </w:rPr>
        <w:t>. 2538</w:t>
      </w:r>
      <w:r w:rsidR="00C77AEA"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4608C6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4608C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608C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4608C6">
        <w:rPr>
          <w:rFonts w:ascii="TH SarabunPSK" w:hAnsi="TH SarabunPSK" w:cs="TH SarabunPSK"/>
          <w:noProof/>
          <w:sz w:val="32"/>
          <w:szCs w:val="32"/>
        </w:rPr>
        <w:t>15</w:t>
      </w:r>
      <w:r w:rsidR="00C81DB8" w:rsidRPr="004608C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4608C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4608C6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4608C6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4608C6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4608C6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4608C6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4608C6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4608C6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4608C6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การขอมีบัตรประจำตัวผู้รับอนุญาต ผู้จัดการ ลูกจ้างหรือตัวแทนจัดหางานในประเทศ สำนักงานจัดหางานจังหวัดกำแพงเพชร</w:t>
      </w:r>
      <w:r w:rsidR="00094F82" w:rsidRPr="004608C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4608C6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4608C6" w:rsidTr="009B7715">
        <w:tc>
          <w:tcPr>
            <w:tcW w:w="675" w:type="dxa"/>
          </w:tcPr>
          <w:p w:rsidR="00094F82" w:rsidRPr="004608C6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608C6" w:rsidRDefault="00A13B6C" w:rsidP="008C1396">
            <w:pPr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4608C6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</w:p>
          <w:p w:rsidR="004608C6" w:rsidRDefault="00094F82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4608C6" w:rsidRPr="002C32B4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Pr="004608C6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4608C6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4608C6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4608C6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4608C6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4608C6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ผู้รับอนุญาตจัดหางานต้องยื่นแบบคำขอมีบัตรประจำตัว ผู้จัดการ ผู้รับอนุญาต ลูกจ้างหรือตัวแทนจัดหางาน พร้อมหลักฐานต่อนายทะเบียนจัดหางานแห่งท้องที่ที่สำนักงานตั้งอยู่ และเมื่อผู้จัดการ ลูกจ้างหรือตัวแทนจัดหางานออกไปปฏิบัติงานนอกสำนักงานต้องแสดงบัตรประจำตัวต่อผู้เกี่ยวข้อง</w:t>
      </w:r>
      <w:r w:rsidRPr="004608C6">
        <w:rPr>
          <w:rFonts w:ascii="TH SarabunPSK" w:hAnsi="TH SarabunPSK" w:cs="TH SarabunPSK"/>
          <w:noProof/>
          <w:sz w:val="32"/>
          <w:szCs w:val="32"/>
        </w:rPr>
        <w:br/>
      </w:r>
      <w:r w:rsidRPr="004608C6">
        <w:rPr>
          <w:rFonts w:ascii="TH SarabunPSK" w:hAnsi="TH SarabunPSK" w:cs="TH SarabunPSK"/>
          <w:noProof/>
          <w:sz w:val="32"/>
          <w:szCs w:val="32"/>
        </w:rPr>
        <w:br/>
      </w:r>
      <w:r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4608C6">
        <w:rPr>
          <w:rFonts w:ascii="TH SarabunPSK" w:hAnsi="TH SarabunPSK" w:cs="TH SarabunPSK"/>
          <w:noProof/>
          <w:sz w:val="32"/>
          <w:szCs w:val="32"/>
        </w:rPr>
        <w:t>:</w:t>
      </w:r>
      <w:r w:rsidRPr="004608C6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4608C6">
        <w:rPr>
          <w:rFonts w:ascii="TH SarabunPSK" w:hAnsi="TH SarabunPSK" w:cs="TH SarabunPSK"/>
          <w:noProof/>
          <w:sz w:val="32"/>
          <w:szCs w:val="32"/>
        </w:rPr>
        <w:t>/</w:t>
      </w:r>
      <w:r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4608C6">
        <w:rPr>
          <w:rFonts w:ascii="TH SarabunPSK" w:hAnsi="TH SarabunPSK" w:cs="TH SarabunPSK"/>
          <w:noProof/>
          <w:sz w:val="32"/>
          <w:szCs w:val="32"/>
        </w:rPr>
        <w:t>/</w:t>
      </w:r>
      <w:r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4608C6">
        <w:rPr>
          <w:rFonts w:ascii="TH SarabunPSK" w:hAnsi="TH SarabunPSK" w:cs="TH SarabunPSK"/>
          <w:noProof/>
          <w:sz w:val="32"/>
          <w:szCs w:val="32"/>
        </w:rPr>
        <w:br/>
      </w:r>
      <w:r w:rsidRPr="004608C6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4608C6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4608C6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4608C6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4608C6" w:rsidTr="00313D38">
        <w:trPr>
          <w:tblHeader/>
        </w:trPr>
        <w:tc>
          <w:tcPr>
            <w:tcW w:w="675" w:type="dxa"/>
            <w:vAlign w:val="center"/>
          </w:tcPr>
          <w:p w:rsidR="00313D38" w:rsidRPr="004608C6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4608C6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4608C6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4608C6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4608C6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4608C6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4608C6" w:rsidTr="00313D38">
        <w:tc>
          <w:tcPr>
            <w:tcW w:w="675" w:type="dxa"/>
            <w:vAlign w:val="center"/>
          </w:tcPr>
          <w:p w:rsidR="00313D38" w:rsidRPr="004608C6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4608C6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4608C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4608C6" w:rsidRDefault="00313D38" w:rsidP="00460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</w:tc>
        <w:tc>
          <w:tcPr>
            <w:tcW w:w="1368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4608C6" w:rsidTr="00313D38">
        <w:tc>
          <w:tcPr>
            <w:tcW w:w="675" w:type="dxa"/>
            <w:vAlign w:val="center"/>
          </w:tcPr>
          <w:p w:rsidR="00313D38" w:rsidRPr="004608C6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4608C6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4608C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4608C6" w:rsidRDefault="00313D38" w:rsidP="00460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เจ้าหน้าที่พิจารณา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เสนอความเห็นต่อนายทะเบียนจัดหางานผู้รับคำขอ</w:t>
            </w:r>
          </w:p>
        </w:tc>
        <w:tc>
          <w:tcPr>
            <w:tcW w:w="1368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4608C6" w:rsidTr="00313D38">
        <w:tc>
          <w:tcPr>
            <w:tcW w:w="675" w:type="dxa"/>
            <w:vAlign w:val="center"/>
          </w:tcPr>
          <w:p w:rsidR="00313D38" w:rsidRPr="004608C6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4608C6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4608C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4608C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นายทะเบียนจัดหางานผู้รับคำขอพิจารณา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</w:t>
            </w:r>
          </w:p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4608C6" w:rsidTr="00313D38">
        <w:tc>
          <w:tcPr>
            <w:tcW w:w="675" w:type="dxa"/>
            <w:vAlign w:val="center"/>
          </w:tcPr>
          <w:p w:rsidR="00313D38" w:rsidRPr="004608C6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4608C6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4608C6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4608C6" w:rsidRDefault="00313D38" w:rsidP="00460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รับบัตรประจำตัว</w:t>
            </w:r>
          </w:p>
        </w:tc>
        <w:tc>
          <w:tcPr>
            <w:tcW w:w="1368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4608C6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26ED0" w:rsidRPr="004608C6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4608C6">
        <w:rPr>
          <w:rFonts w:ascii="TH SarabunPSK" w:hAnsi="TH SarabunPSK" w:cs="TH SarabunPSK"/>
          <w:noProof/>
          <w:sz w:val="32"/>
          <w:szCs w:val="32"/>
        </w:rPr>
        <w:t xml:space="preserve">8 </w:t>
      </w:r>
      <w:r w:rsidR="009B68CC"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</w:p>
    <w:p w:rsidR="0085230C" w:rsidRPr="004608C6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4608C6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08C6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4608C6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4608C6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4608C6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4608C6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4608C6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4608C6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4608C6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4608C6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4608C6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4608C6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4608C6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4608C6" w:rsidTr="004E651F">
        <w:trPr>
          <w:jc w:val="center"/>
        </w:trPr>
        <w:tc>
          <w:tcPr>
            <w:tcW w:w="675" w:type="dxa"/>
            <w:vAlign w:val="center"/>
          </w:tcPr>
          <w:p w:rsidR="00452B6B" w:rsidRPr="004608C6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</w:t>
            </w:r>
          </w:p>
        </w:tc>
        <w:tc>
          <w:tcPr>
            <w:tcW w:w="1843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4608C6" w:rsidTr="004E651F">
        <w:trPr>
          <w:jc w:val="center"/>
        </w:trPr>
        <w:tc>
          <w:tcPr>
            <w:tcW w:w="675" w:type="dxa"/>
            <w:vAlign w:val="center"/>
          </w:tcPr>
          <w:p w:rsidR="00452B6B" w:rsidRPr="004608C6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4608C6" w:rsidTr="004E651F">
        <w:trPr>
          <w:jc w:val="center"/>
        </w:trPr>
        <w:tc>
          <w:tcPr>
            <w:tcW w:w="675" w:type="dxa"/>
            <w:vAlign w:val="center"/>
          </w:tcPr>
          <w:p w:rsidR="00452B6B" w:rsidRPr="004608C6" w:rsidRDefault="00AC4ACB" w:rsidP="00452B6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รูปถ่ายหน้าตรง ไม่สวมหมวก ขนาด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4x 6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เซนติเมตร  จำนวน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</w:t>
            </w:r>
          </w:p>
        </w:tc>
        <w:tc>
          <w:tcPr>
            <w:tcW w:w="1843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4608C6" w:rsidRDefault="00AC4ACB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422EAB" w:rsidRPr="004608C6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4608C6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4608C6" w:rsidTr="004E651F">
        <w:trPr>
          <w:tblHeader/>
        </w:trPr>
        <w:tc>
          <w:tcPr>
            <w:tcW w:w="675" w:type="dxa"/>
            <w:vAlign w:val="center"/>
          </w:tcPr>
          <w:p w:rsidR="00422EAB" w:rsidRPr="004608C6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4608C6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4608C6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4608C6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4608C6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4608C6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4608C6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608C6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4608C6" w:rsidTr="004E651F">
        <w:tc>
          <w:tcPr>
            <w:tcW w:w="675" w:type="dxa"/>
            <w:vAlign w:val="center"/>
          </w:tcPr>
          <w:p w:rsidR="00AC4ACB" w:rsidRPr="004608C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608C6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คำขอมีบัตรประจำตัว</w:t>
            </w:r>
          </w:p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.17)</w:t>
            </w:r>
          </w:p>
        </w:tc>
        <w:tc>
          <w:tcPr>
            <w:tcW w:w="1843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4608C6" w:rsidTr="004E651F">
        <w:tc>
          <w:tcPr>
            <w:tcW w:w="675" w:type="dxa"/>
            <w:vAlign w:val="center"/>
          </w:tcPr>
          <w:p w:rsidR="00AC4ACB" w:rsidRPr="004608C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สำเนาใบอนุญาตจัดหางาน</w:t>
            </w:r>
          </w:p>
        </w:tc>
        <w:tc>
          <w:tcPr>
            <w:tcW w:w="1843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4608C6" w:rsidTr="004E651F">
        <w:tc>
          <w:tcPr>
            <w:tcW w:w="675" w:type="dxa"/>
            <w:vAlign w:val="center"/>
          </w:tcPr>
          <w:p w:rsidR="00AC4ACB" w:rsidRPr="004608C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608C6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สำเนาหนังสือ</w:t>
            </w:r>
          </w:p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รับจดทะเบียนลูกจ้างหรือตัวแทน</w:t>
            </w:r>
          </w:p>
        </w:tc>
        <w:tc>
          <w:tcPr>
            <w:tcW w:w="1843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608C6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นายทะเบียนอนุญาตให้รับจดทะเบียนเรียบร้อยแล้ว  กรณีขอบัตรประจำตัวลูกจ้างหรือตัวแทน</w:t>
            </w:r>
          </w:p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AC4ACB" w:rsidRPr="004608C6" w:rsidTr="004E651F">
        <w:tc>
          <w:tcPr>
            <w:tcW w:w="675" w:type="dxa"/>
            <w:vAlign w:val="center"/>
          </w:tcPr>
          <w:p w:rsidR="00AC4ACB" w:rsidRPr="004608C6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608C6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 ติดอากรแสตมป์ จำนวน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 </w:t>
            </w:r>
          </w:p>
          <w:p w:rsidR="004608C6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พร้อมสำเนาบัตรประจำตัวประชาชนของผู้รับมอบ </w:t>
            </w:r>
          </w:p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จำนวน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4608C6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A10CDA" w:rsidRPr="004608C6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4608C6" w:rsidTr="00090552">
        <w:tc>
          <w:tcPr>
            <w:tcW w:w="534" w:type="dxa"/>
          </w:tcPr>
          <w:p w:rsidR="00A13B6C" w:rsidRPr="004608C6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4608C6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ค่าคำขอ</w:t>
            </w:r>
          </w:p>
          <w:p w:rsidR="00E90756" w:rsidRPr="004608C6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4608C6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4608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4608C6" w:rsidTr="00090552">
        <w:tc>
          <w:tcPr>
            <w:tcW w:w="534" w:type="dxa"/>
          </w:tcPr>
          <w:p w:rsidR="00A13B6C" w:rsidRPr="004608C6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4608C6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ค่าบัตรประจำตัว</w:t>
            </w:r>
          </w:p>
          <w:p w:rsidR="00E90756" w:rsidRPr="004608C6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F5490C"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4608C6" w:rsidRDefault="00E90756" w:rsidP="00460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(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อายุบัตรประจำตัว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ปี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)</w:t>
            </w:r>
            <w:r w:rsidR="000F1309" w:rsidRPr="004608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:rsidR="008E2900" w:rsidRPr="004608C6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4608C6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4608C6" w:rsidTr="00C1539D">
        <w:tc>
          <w:tcPr>
            <w:tcW w:w="534" w:type="dxa"/>
          </w:tcPr>
          <w:p w:rsidR="00EA6950" w:rsidRPr="004608C6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4608C6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4608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กองตรวจและคุ้มครองคนหางาน  กรมการจัดหางาน ถนนมิตรไมตรี ดินแดง กรุงเทพฯ  โทรศัพท์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0 2245 0964, 0 2248 2278</w:t>
            </w:r>
            <w:r w:rsidRPr="00460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608C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4608C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4608C6" w:rsidTr="00C1539D">
        <w:tc>
          <w:tcPr>
            <w:tcW w:w="534" w:type="dxa"/>
          </w:tcPr>
          <w:p w:rsidR="00EA6950" w:rsidRPr="004608C6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4608C6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4608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460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608C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4608C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4608C6" w:rsidTr="00C1539D">
        <w:tc>
          <w:tcPr>
            <w:tcW w:w="534" w:type="dxa"/>
          </w:tcPr>
          <w:p w:rsidR="00EA6950" w:rsidRPr="004608C6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608C6" w:rsidRDefault="00EA6950" w:rsidP="00EA6950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4608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</w:p>
          <w:p w:rsidR="00EA6950" w:rsidRPr="004608C6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460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608C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4608C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4608C6" w:rsidTr="00C1539D">
        <w:tc>
          <w:tcPr>
            <w:tcW w:w="534" w:type="dxa"/>
          </w:tcPr>
          <w:p w:rsidR="00EA6950" w:rsidRPr="004608C6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4608C6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4608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460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608C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4608C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013BC7" w:rsidRPr="004608C6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4608C6" w:rsidTr="00C1539D">
        <w:tc>
          <w:tcPr>
            <w:tcW w:w="675" w:type="dxa"/>
          </w:tcPr>
          <w:p w:rsidR="00F064C0" w:rsidRPr="004608C6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4608C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4608C6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คำขอมีบัตรประจำตัว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.17)</w:t>
            </w:r>
            <w:r w:rsidRPr="004608C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608C6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4608C6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D51311" w:rsidRPr="004608C6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4608C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4608C6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4608C6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4608C6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4608C6" w:rsidTr="0064558D">
        <w:tc>
          <w:tcPr>
            <w:tcW w:w="1418" w:type="dxa"/>
          </w:tcPr>
          <w:p w:rsidR="0064558D" w:rsidRPr="004608C6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4608C6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4608C6" w:rsidTr="0064558D">
        <w:tc>
          <w:tcPr>
            <w:tcW w:w="1418" w:type="dxa"/>
          </w:tcPr>
          <w:p w:rsidR="0064558D" w:rsidRPr="004608C6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4608C6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4608C6" w:rsidTr="0064558D">
        <w:tc>
          <w:tcPr>
            <w:tcW w:w="1418" w:type="dxa"/>
          </w:tcPr>
          <w:p w:rsidR="0064558D" w:rsidRPr="004608C6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4608C6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4608C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4608C6" w:rsidTr="0064558D">
        <w:tc>
          <w:tcPr>
            <w:tcW w:w="1418" w:type="dxa"/>
          </w:tcPr>
          <w:p w:rsidR="0064558D" w:rsidRPr="004608C6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4608C6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4608C6" w:rsidTr="0064558D">
        <w:tc>
          <w:tcPr>
            <w:tcW w:w="1418" w:type="dxa"/>
          </w:tcPr>
          <w:p w:rsidR="0064558D" w:rsidRPr="004608C6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4608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4608C6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4608C6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4608C6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4608C6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4608C6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4608C6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4608C6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73C" w:rsidRDefault="000E473C" w:rsidP="00C81DB8">
      <w:pPr>
        <w:spacing w:after="0" w:line="240" w:lineRule="auto"/>
      </w:pPr>
      <w:r>
        <w:separator/>
      </w:r>
    </w:p>
  </w:endnote>
  <w:endnote w:type="continuationSeparator" w:id="0">
    <w:p w:rsidR="000E473C" w:rsidRDefault="000E473C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73C" w:rsidRDefault="000E473C" w:rsidP="00C81DB8">
      <w:pPr>
        <w:spacing w:after="0" w:line="240" w:lineRule="auto"/>
      </w:pPr>
      <w:r>
        <w:separator/>
      </w:r>
    </w:p>
  </w:footnote>
  <w:footnote w:type="continuationSeparator" w:id="0">
    <w:p w:rsidR="000E473C" w:rsidRDefault="000E473C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F44359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4608C6">
          <w:rPr>
            <w:noProof/>
          </w:rPr>
          <w:t>5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4608C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E473C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0E98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608C6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507AD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91480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44359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3F16-F7BF-47D3-9968-32BEE982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651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85</cp:revision>
  <cp:lastPrinted>2015-07-24T03:31:00Z</cp:lastPrinted>
  <dcterms:created xsi:type="dcterms:W3CDTF">2015-04-23T03:41:00Z</dcterms:created>
  <dcterms:modified xsi:type="dcterms:W3CDTF">2016-09-07T06:34:00Z</dcterms:modified>
</cp:coreProperties>
</file>